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7E0" w:rsidRPr="00866BD2" w:rsidRDefault="002757E0" w:rsidP="002757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6BD2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66BD2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 xml:space="preserve"> «Налог на имущество»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1. К объектам обложения налога на имущество физических лиц не относятся: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транспортные средства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жилые дома и квартиры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гаражи.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Не освобождаются от уплаты налога на имущество физические лица: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Герои СССР и РФ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пенсионеры РФ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пострадавшие от радиации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работники образования.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Налог на имущество физических лиц исчисляется: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самостоятельно налогоплательщиками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налоговыми агентами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налоговыми органами.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Не являются плательщиками земельного налога: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землевладельцы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собственники земельных участков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арендаторы земельных участков.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Налоговая база по земельному налогу определяется как: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площадь участка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инвентаризационная стоимость участка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кадастровая стоимость участка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среднегодовая стоимость земельного участка.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Ставка земельного налога по землям сельскохозяйственного значения, установленная Налоговым кодексом, не должна превышать: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0,1 %</w:t>
      </w: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в) 0,5 %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0,3 %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66BD2">
        <w:rPr>
          <w:rFonts w:ascii="Times New Roman" w:hAnsi="Times New Roman"/>
          <w:sz w:val="24"/>
          <w:szCs w:val="24"/>
        </w:rPr>
        <w:t>г) 1,5 %.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К платежам, уплачиваемым на таможне, не относится: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 на добавленную стоимость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таможенная пошлина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акциз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транспортный налог.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Таможенные пошлины уплачиваются: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до или одновременно с принятием таможенной декларации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после принятия таможенной декларации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после пересечения таможенной границы.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9. Взносы на обязательное социальное страхование от несчастных случаев на производстве и профессиональных заболеваний по природе схожи с отчислениями: 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Пенсионный фонд;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Фонд социального страхования;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фонды обязательного медицинского страхования.</w:t>
      </w:r>
    </w:p>
    <w:p w:rsidR="002757E0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10. Ставки взноса на обязательное социальное страхование от несчастных случаев на производстве и профессиональных заболеваний установлены в зависимости: 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от вида деятельности налогоплательщика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 размера выручки от реализации продукции (работ, услуг);</w:t>
      </w:r>
    </w:p>
    <w:p w:rsidR="002757E0" w:rsidRPr="00866BD2" w:rsidRDefault="002757E0" w:rsidP="00275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от класса профессионального риска.</w:t>
      </w:r>
    </w:p>
    <w:p w:rsidR="00735B8D" w:rsidRDefault="00735B8D" w:rsidP="002757E0">
      <w:pPr>
        <w:spacing w:after="0" w:line="240" w:lineRule="auto"/>
      </w:pPr>
    </w:p>
    <w:sectPr w:rsidR="00735B8D" w:rsidSect="002757E0">
      <w:headerReference w:type="default" r:id="rId6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B8D" w:rsidRDefault="00735B8D" w:rsidP="002757E0">
      <w:pPr>
        <w:spacing w:after="0" w:line="240" w:lineRule="auto"/>
      </w:pPr>
      <w:r>
        <w:separator/>
      </w:r>
    </w:p>
  </w:endnote>
  <w:endnote w:type="continuationSeparator" w:id="1">
    <w:p w:rsidR="00735B8D" w:rsidRDefault="00735B8D" w:rsidP="00275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B8D" w:rsidRDefault="00735B8D" w:rsidP="002757E0">
      <w:pPr>
        <w:spacing w:after="0" w:line="240" w:lineRule="auto"/>
      </w:pPr>
      <w:r>
        <w:separator/>
      </w:r>
    </w:p>
  </w:footnote>
  <w:footnote w:type="continuationSeparator" w:id="1">
    <w:p w:rsidR="00735B8D" w:rsidRDefault="00735B8D" w:rsidP="00275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7E0" w:rsidRDefault="002757E0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57E0"/>
    <w:rsid w:val="002757E0"/>
    <w:rsid w:val="00735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7E0"/>
  </w:style>
  <w:style w:type="paragraph" w:styleId="a5">
    <w:name w:val="footer"/>
    <w:basedOn w:val="a"/>
    <w:link w:val="a6"/>
    <w:uiPriority w:val="99"/>
    <w:semiHidden/>
    <w:unhideWhenUsed/>
    <w:rsid w:val="00275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57E0"/>
  </w:style>
  <w:style w:type="paragraph" w:styleId="a7">
    <w:name w:val="Balloon Text"/>
    <w:basedOn w:val="a"/>
    <w:link w:val="a8"/>
    <w:uiPriority w:val="99"/>
    <w:semiHidden/>
    <w:unhideWhenUsed/>
    <w:rsid w:val="0027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5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2016-10-12T07:14:00Z</dcterms:created>
  <dcterms:modified xsi:type="dcterms:W3CDTF">2016-10-12T07:18:00Z</dcterms:modified>
</cp:coreProperties>
</file>